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media/image2.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/>
      </w:pPr>
      <w:r>
        <w:rPr>
          <w:rFonts w:eastAsia="Calibri"/>
          <w:b/>
          <w:bCs/>
          <w:szCs w:val="28"/>
        </w:rPr>
        <w:t xml:space="preserve">  </w:t>
      </w:r>
      <w:r>
        <w:rPr/>
        <w:drawing>
          <wp:inline distT="0" distB="0" distL="0" distR="0">
            <wp:extent cx="1981200" cy="7334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/>
          <w:b/>
          <w:bCs/>
          <w:szCs w:val="28"/>
        </w:rPr>
        <w:t xml:space="preserve">                                                                      </w:t>
      </w:r>
    </w:p>
    <w:p>
      <w:pPr>
        <w:pStyle w:val="Standard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</w:r>
    </w:p>
    <w:p>
      <w:pPr>
        <w:pStyle w:val="Standard"/>
        <w:jc w:val="right"/>
        <w:rPr>
          <w:rFonts w:ascii="Times New Roman" w:hAnsi="Times New Roman" w:eastAsia="Times New Roman" w:cs="Times New Roman"/>
          <w:b/>
          <w:bCs/>
          <w:sz w:val="32"/>
          <w:szCs w:val="32"/>
          <w:highlight w:val="none"/>
        </w:rPr>
      </w:pPr>
      <w:r>
        <w:rPr>
          <w:rFonts w:eastAsia="Times New Roman" w:cs="Times New Roman" w:ascii="Times New Roman" w:hAnsi="Times New Roman"/>
          <w:b/>
          <w:bCs/>
          <w:sz w:val="32"/>
          <w:szCs w:val="28"/>
        </w:rPr>
        <w:t>ПРЕСС-РЕЛИЗ</w:t>
      </w:r>
      <w:r>
        <w:rPr>
          <w:rFonts w:eastAsia="Times New Roman" w:cs="Times New Roman" w:ascii="Times New Roman" w:hAnsi="Times New Roman"/>
          <w:b/>
          <w:bCs/>
          <w:sz w:val="32"/>
          <w:szCs w:val="32"/>
        </w:rPr>
        <w:br/>
      </w:r>
      <w:r>
        <w:rPr>
          <w:rFonts w:eastAsia="Times New Roman" w:cs="Times New Roman" w:ascii="Times New Roman" w:hAnsi="Times New Roman"/>
          <w:b w:val="false"/>
          <w:bCs w:val="false"/>
          <w:sz w:val="30"/>
          <w:szCs w:val="30"/>
        </w:rPr>
        <w:t>12.11.2025</w:t>
      </w:r>
    </w:p>
    <w:p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</w:rPr>
        <w:br/>
      </w:r>
    </w:p>
    <w:p>
      <w:pPr>
        <w:pStyle w:val="ConsPlusNormal"/>
        <w:jc w:val="both"/>
        <w:rPr>
          <w:rFonts w:ascii="Tinos" w:hAnsi="Tinos" w:eastAsia="Tinos" w:cs="Tinos"/>
          <w:b w:val="false"/>
          <w:bCs/>
          <w:i/>
          <w:i/>
          <w:sz w:val="28"/>
          <w:szCs w:val="28"/>
          <w:highlight w:val="none"/>
        </w:rPr>
      </w:pPr>
      <w:r>
        <w:rPr>
          <w:rFonts w:eastAsia="Tinos" w:cs="Tinos" w:ascii="Tinos" w:hAnsi="Tinos"/>
          <w:b w:val="false"/>
          <w:bCs/>
          <w:i/>
          <w:sz w:val="28"/>
          <w:szCs w:val="28"/>
        </w:rPr>
      </w:r>
    </w:p>
    <w:p>
      <w:pPr>
        <w:pStyle w:val="ConsPlusNormal"/>
        <w:jc w:val="both"/>
        <w:rPr>
          <w:rFonts w:ascii="Tinos" w:hAnsi="Tinos" w:eastAsia="Tinos" w:cs="Tinos"/>
          <w:b w:val="false"/>
          <w:bCs w:val="false"/>
          <w:i/>
          <w:i/>
          <w:iCs/>
          <w:sz w:val="28"/>
          <w:szCs w:val="28"/>
          <w:highlight w:val="none"/>
        </w:rPr>
      </w:pPr>
      <w:r>
        <w:rPr>
          <w:rFonts w:eastAsia="Tinos" w:cs="Tinos" w:ascii="Tinos" w:hAnsi="Tinos"/>
          <w:b w:val="false"/>
          <w:bCs w:val="false"/>
          <w:i/>
          <w:iCs/>
          <w:sz w:val="28"/>
          <w:szCs w:val="28"/>
        </w:rPr>
        <w:t>Почему нужно регистрировать свои права на недвижимость</w:t>
      </w:r>
      <w:r>
        <w:rPr>
          <w:rFonts w:eastAsia="Tinos" w:cs="Tinos" w:ascii="Tinos" w:hAnsi="Tinos"/>
          <w:b w:val="false"/>
          <w:bCs w:val="false"/>
          <w:i/>
          <w:iCs/>
          <w:sz w:val="28"/>
          <w:szCs w:val="28"/>
        </w:rPr>
        <w:t>?</w:t>
      </w:r>
    </w:p>
    <w:p>
      <w:pPr>
        <w:pStyle w:val="Normal"/>
        <w:spacing w:lineRule="auto" w:line="240" w:before="0" w:afterAutospacing="0" w:after="0"/>
        <w:ind w:left="709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</w:p>
    <w:p>
      <w:pPr>
        <w:pStyle w:val="Normal"/>
        <w:pBdr/>
        <w:shd w:val="clear" w:color="FFFFFF" w:themeColor="background1" w:fill="FFFFFF" w:themeFill="background1"/>
        <w:spacing w:lineRule="auto" w:line="240" w:before="0" w:afterAutospacing="0" w:after="0"/>
        <w:ind w:left="0" w:righ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highlight w:val="white"/>
        </w:rPr>
        <w:t>Права на недвижимое имущество и сделки с ним затрагивают интересы практически всех субъектов – граждан, юридических лиц, публичных субъектов, органов власти.</w:t>
      </w:r>
    </w:p>
    <w:p>
      <w:pPr>
        <w:pStyle w:val="Normal"/>
        <w:pBdr/>
        <w:shd w:val="clear" w:color="FFFFFF" w:themeColor="background1" w:fill="FFFFFF" w:themeFill="background1"/>
        <w:tabs>
          <w:tab w:val="clear" w:pos="708"/>
          <w:tab w:val="left" w:pos="709" w:leader="none"/>
        </w:tabs>
        <w:spacing w:lineRule="auto" w:line="240" w:before="0" w:afterAutospacing="0" w:after="0"/>
        <w:ind w:left="0" w:righ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highlight w:val="white"/>
        </w:rPr>
        <w:t>Правительством Российской Федерации Росреестру, о</w:t>
      </w: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 xml:space="preserve">рганам государственной власти и органам местного самоуправления поставлена задача по наполнению ЕГРН сведениями в максимально кратчайшие сроки. </w:t>
      </w:r>
    </w:p>
    <w:p>
      <w:pPr>
        <w:pStyle w:val="Normal"/>
        <w:tabs>
          <w:tab w:val="clear" w:pos="708"/>
          <w:tab w:val="left" w:pos="2310" w:leader="none"/>
        </w:tabs>
        <w:spacing w:lineRule="auto" w:line="240" w:before="0" w:afterAutospacing="0" w:after="0"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>Управлением Росреестра по Алтайскому краю на регулярной основе проводится анализ объектов недвижимости, в отношении которых в ЕГРН отсутствуют права.</w:t>
      </w:r>
    </w:p>
    <w:p>
      <w:pPr>
        <w:pStyle w:val="Normal"/>
        <w:tabs>
          <w:tab w:val="clear" w:pos="708"/>
          <w:tab w:val="left" w:pos="2310" w:leader="none"/>
        </w:tabs>
        <w:spacing w:lineRule="auto" w:line="240" w:before="0" w:afterAutospacing="0" w:after="0"/>
        <w:ind w:left="0" w:right="0" w:firstLine="567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>В частности, Управлением в октябре 2025 выявлено более 1300 помещений в многоквартирных домах, построенных с привлечением средств участников долевого строительства и введенных  в эксплуатацию до 01.03.2025.</w:t>
      </w:r>
    </w:p>
    <w:p>
      <w:pPr>
        <w:pStyle w:val="Normal"/>
        <w:tabs>
          <w:tab w:val="clear" w:pos="708"/>
          <w:tab w:val="left" w:pos="2310" w:leader="none"/>
        </w:tabs>
        <w:spacing w:lineRule="auto" w:line="240" w:before="0" w:afterAutospacing="0" w:after="0"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 xml:space="preserve">Информация размещена на официальном сайте Росреестра по ссылке </w:t>
      </w:r>
      <w:hyperlink r:id="rId3" w:tgtFrame="https://rosreestr.gov.ru/open-service/statistika-i-analitika/perechen-pomeshcheniy-bez-prav-raspolozhennykh-v-mkd-postroennykh-po-ddu-vvedennykh-v-ekspluatatsiyu/">
        <w:r>
          <w:rPr>
            <w:rStyle w:val="-"/>
            <w:rFonts w:eastAsia="Times New Roman" w:cs="Times New Roman" w:ascii="Times New Roman" w:hAnsi="Times New Roman"/>
            <w:color w:val="000000" w:themeColor="text1"/>
            <w:sz w:val="28"/>
            <w:szCs w:val="28"/>
            <w:highlight w:val="white"/>
            <w:u w:val="single"/>
          </w:rPr>
          <w:t>https://rosreestr.gov.ru/open-service/statistika-i-analitika/perechen-pomeshcheniy-bez-prav-raspolozhennykh-v-mkd-postroennykh-po-ddu-vvedennykh-v-ekspluatatsiyu/</w:t>
        </w:r>
      </w:hyperlink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highlight w:val="white"/>
        </w:rPr>
        <w:t xml:space="preserve"> .</w:t>
      </w:r>
    </w:p>
    <w:p>
      <w:pPr>
        <w:pStyle w:val="Normal"/>
        <w:pBdr/>
        <w:shd w:val="clear" w:color="FFFFFF" w:themeColor="background1" w:fill="FFFFFF" w:themeFill="background1"/>
        <w:spacing w:lineRule="auto" w:line="240" w:before="0" w:afterAutospacing="0" w:after="0"/>
        <w:ind w:left="0" w:right="0" w:firstLine="709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highlight w:val="white"/>
        </w:rPr>
        <w:t>Следует отметить, что зарегистрированное право можно оспорить только в судебном порядке, в связи с чем,  факт регистрации прав  в ЕГРН гарантирует защиту права собственнику, возможность беспрепятственно и оперативно  совершать любые сделки: купля-продажа, дарение, мена, аренда, ипотека.</w:t>
      </w:r>
    </w:p>
    <w:p>
      <w:pPr>
        <w:pStyle w:val="Normal"/>
        <w:pBdr/>
        <w:shd w:val="clear" w:color="FFFFFF" w:themeColor="background1" w:fill="FFFFFF" w:themeFill="background1"/>
        <w:spacing w:lineRule="auto" w:line="240" w:before="0" w:afterAutospacing="0" w:after="0"/>
        <w:ind w:left="0" w:right="0" w:firstLine="709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highlight w:val="white"/>
        </w:rPr>
        <w:t xml:space="preserve">Наличие полных и точных сведений  в ЕГРН позволяют уполномоченным органам оперативно получать информацию и своевременно осуществлять государственные и муниципальные услуги, в том числе по  компенсационным выплатам, проводить мероприятия в случае утраты объектов недвижимости в результате пожаров, наводнений и иных стихийных бедствий и т.д.  </w:t>
      </w:r>
    </w:p>
    <w:p>
      <w:pPr>
        <w:pStyle w:val="Normal"/>
        <w:pBdr/>
        <w:shd w:val="clear" w:color="FFFFFF" w:themeColor="background1" w:fill="FFFFFF" w:themeFill="background1"/>
        <w:spacing w:lineRule="auto" w:line="240" w:before="0" w:afterAutospacing="0" w:after="0"/>
        <w:ind w:left="0" w:right="0" w:firstLine="709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highlight w:val="white"/>
        </w:rPr>
        <w:t>Нотариусы при наличии сведений в ЕГРН имеют возможность достоверно определять наследственное имущество, что гарантирует последующее оформление прав на недвижимость наследников.</w:t>
      </w:r>
    </w:p>
    <w:p>
      <w:pPr>
        <w:pStyle w:val="Normal"/>
        <w:pBdr/>
        <w:shd w:val="clear" w:color="FFFFFF" w:themeColor="background1" w:fill="FFFFFF" w:themeFill="background1"/>
        <w:spacing w:lineRule="auto" w:line="240" w:before="0" w:afterAutospacing="0" w:after="0"/>
        <w:ind w:left="0" w:righ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highlight w:val="white"/>
        </w:rPr>
        <w:t>Кроме того, отмечаем, что в случае отсутствия зарегистрированных прав на земельный участок, по истечении определенного периода времени может быть снят с кадастрового учета, что усложнит в дальнейшем оформление на него прав и повлечет дополнительные финансовые затраты на повторное оформление документов в целях постановки участка на кадастровый учет.</w:t>
      </w:r>
    </w:p>
    <w:p>
      <w:pPr>
        <w:pStyle w:val="Normal"/>
        <w:pBdr/>
        <w:shd w:val="clear" w:color="FFFFFF" w:themeColor="background1" w:fill="FFFFFF" w:themeFill="background1"/>
        <w:spacing w:lineRule="auto" w:line="240" w:before="0" w:afterAutospacing="0" w:after="0"/>
        <w:ind w:left="0" w:righ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highlight w:val="white"/>
        </w:rPr>
        <w:t>Также обращаем внимание, что недвижимое имущество, права на которое не зарегистрированы, не защищено от мошеннических действий. Своевременная регистрация недвижимости позволит избежать рисков и неблагоприятных последствий. При наличии в ЕГРН сведений о зарегистрированных правах собственник имеет право подать заявление о невозможности регистрации без личного участия.</w:t>
      </w:r>
    </w:p>
    <w:p>
      <w:pPr>
        <w:pStyle w:val="Normal"/>
        <w:pBdr/>
        <w:shd w:val="clear" w:color="FFFFFF" w:themeColor="background1" w:fill="FFFFFF" w:themeFill="background1"/>
        <w:spacing w:lineRule="auto" w:line="240" w:before="0" w:afterAutospacing="0" w:after="0"/>
        <w:ind w:left="0" w:righ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highlight w:val="white"/>
        </w:rPr>
        <w:t>Важным моментом является установление кадастровой стоимости в отношении зарегистрированных объектов,  что в свою очередь влечет правильное начисление налога на имущество.</w:t>
      </w:r>
    </w:p>
    <w:p>
      <w:pPr>
        <w:pStyle w:val="Normal"/>
        <w:spacing w:lineRule="auto" w:line="240" w:before="0" w:afterAutospacing="0" w:after="0"/>
        <w:ind w:left="0" w:right="0"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Напоминаем, что органами местного самоуправления совместно с федеральными и региональными органами власти проводится работа по выявлению правообладателей в отношении объектов недвижимости, сведения о правах которых отсутствуют в ЕГРН, в том числе на предмет отнесения объектов к бесхозяйному имуществу.</w:t>
      </w:r>
    </w:p>
    <w:p>
      <w:pPr>
        <w:pStyle w:val="Normal"/>
        <w:spacing w:lineRule="auto" w:line="240" w:before="0" w:afterAutospacing="0" w:after="0"/>
        <w:ind w:left="0" w:right="0"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Предлагаем всем физическим и юридическим лицам незамедлительно обратиться за регистрацией своих прав.</w:t>
      </w:r>
    </w:p>
    <w:p>
      <w:pPr>
        <w:pStyle w:val="Normal"/>
        <w:spacing w:lineRule="auto" w:line="240" w:before="0" w:afterAutospacing="0" w:after="0"/>
        <w:ind w:left="0" w:right="0" w:hanging="0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/>
        <w:drawing>
          <wp:inline distT="0" distB="0" distL="0" distR="0">
            <wp:extent cx="5848985" cy="5848985"/>
            <wp:effectExtent l="0" t="0" r="0" b="0"/>
            <wp:docPr id="2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985" cy="584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sk-SK"/>
          <w14:ligatures w14:val="none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sk-SK"/>
          <w14:ligatures w14:val="none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sk-SK"/>
          <w14:ligatures w14:val="none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sk-SK"/>
          <w14:ligatures w14:val="none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sk-SK"/>
          <w14:ligatures w14:val="none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sk-SK"/>
          <w14:ligatures w14:val="none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sk-SK"/>
          <w14:ligatures w14:val="none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lang w:eastAsia="sk-SK"/>
        </w:rPr>
        <w:t>Об Управлении Росреестра по Алтайскому краю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>
        <w:rPr>
          <w:rFonts w:eastAsia="Times New Roman" w:cs="Times New Roman" w:ascii="Times New Roman" w:hAnsi="Times New Roman"/>
          <w:color w:val="000000"/>
          <w:sz w:val="22"/>
          <w:szCs w:val="22"/>
          <w:lang w:eastAsia="en-US"/>
        </w:rPr>
        <w:t>, главный регистратор Алтайского края</w:t>
      </w: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 xml:space="preserve"> – Юрий Викторович Калашников.</w:t>
      </w:r>
    </w:p>
    <w:p>
      <w:pPr>
        <w:pStyle w:val="Standard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lang w:eastAsia="sk-SK"/>
        </w:rPr>
        <w:t>Контакты для СМИ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Пресс-секретарь Управления Росреестра по Алтайскому краю</w:t>
        <w:br/>
      </w:r>
      <w:r>
        <w:rPr>
          <w:rFonts w:eastAsia="Times New Roman" w:cs="Times New Roman" w:ascii="Times New Roman" w:hAnsi="Times New Roman"/>
          <w:sz w:val="22"/>
          <w:szCs w:val="22"/>
          <w:shd w:fill="FFFFFF" w:val="clear"/>
        </w:rPr>
        <w:t>Бучнева Анжелика Анатольевна 8 (3852) 29 17 44, 5097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hyperlink r:id="rId5" w:tgtFrame="mailto:22press_rosreestr@mail.ru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22press_rosreestr@mail.ru</w:t>
        </w:r>
      </w:hyperlink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t xml:space="preserve"> </w:t>
      </w: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656002, Барнаул, ул. Советская, д. 16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Сайт Росреестра:</w:t>
      </w:r>
      <w:r>
        <w:rPr>
          <w:rFonts w:eastAsia="Times New Roman" w:cs="Times New Roman" w:ascii="Times New Roman" w:hAnsi="Times New Roman"/>
          <w:sz w:val="22"/>
          <w:szCs w:val="22"/>
        </w:rPr>
        <w:t xml:space="preserve"> </w:t>
      </w:r>
      <w:hyperlink r:id="rId6" w:tgtFrame="http://www.rosreestr.gov.ru/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  <w:lang w:val="en-US"/>
          </w:rPr>
          <w:t>www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.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  <w:lang w:val="en-US"/>
          </w:rPr>
          <w:t>rosreestr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.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  <w:lang w:val="en-US"/>
          </w:rPr>
          <w:t>gov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.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  <w:lang w:val="en-US"/>
          </w:rPr>
          <w:t>ru</w:t>
        </w:r>
      </w:hyperlink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br/>
      </w: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Яндекс-Дзен:</w:t>
      </w:r>
      <w:r>
        <w:rPr>
          <w:rFonts w:eastAsia="Times New Roman" w:cs="Times New Roman" w:ascii="Times New Roman" w:hAnsi="Times New Roman"/>
          <w:sz w:val="22"/>
          <w:szCs w:val="22"/>
        </w:rPr>
        <w:t xml:space="preserve"> </w:t>
      </w:r>
      <w:hyperlink r:id="rId7" w:tgtFrame="https://dzen.ru/id/6392ad9bbc8b8d2fd42961a7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https://dzen.ru/id/6392ad9bbc8b8d2fd42961a7</w:t>
        </w:r>
      </w:hyperlink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tab/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ВКонтакте:</w:t>
      </w:r>
      <w:r>
        <w:rPr>
          <w:rFonts w:eastAsia="Times New Roman" w:cs="Times New Roman" w:ascii="Times New Roman" w:hAnsi="Times New Roman"/>
          <w:color w:val="0000FF"/>
          <w:sz w:val="22"/>
          <w:szCs w:val="22"/>
          <w:shd w:fill="FFFFFF" w:val="clear"/>
        </w:rPr>
        <w:t xml:space="preserve"> </w:t>
      </w:r>
      <w:hyperlink r:id="rId8" w:tgtFrame="https://vk.com/rosreestr_altaiskii_krai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https://vk.com/rosreestr_altaiskii_krai</w:t>
        </w:r>
      </w:hyperlink>
      <w:r>
        <w:rPr>
          <w:rFonts w:eastAsia="Times New Roman" w:cs="Times New Roman" w:ascii="Times New Roman" w:hAnsi="Times New Roman"/>
          <w:color w:val="0000FF"/>
          <w:sz w:val="22"/>
          <w:szCs w:val="22"/>
          <w:shd w:fill="FFFFFF" w:val="clear"/>
        </w:rPr>
        <w:t xml:space="preserve"> </w:t>
        <w:br/>
      </w: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Телеграм-канал:</w:t>
      </w:r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t xml:space="preserve"> https://web.telegram.org/k/#@rosreestr_altaiskii_krai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Одноклассники:</w:t>
      </w:r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t xml:space="preserve"> </w:t>
      </w:r>
      <w:hyperlink r:id="rId9" w:tgtFrame="https://ok.ru/rosreestr22alt.krai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https://ok.ru/rosreestr22alt.krai</w:t>
        </w:r>
      </w:hyperlink>
    </w:p>
    <w:p>
      <w:pPr>
        <w:pStyle w:val="Normal"/>
        <w:spacing w:lineRule="auto" w:line="240" w:before="0" w:afterAutospacing="0" w:after="0"/>
        <w:ind w:left="0" w:right="0" w:hanging="0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eastAsia="Calibri"/>
          <w:color w:val="0000FF"/>
          <w:sz w:val="20"/>
          <w:u w:val="single"/>
          <w:shd w:fill="FFFFFF" w:val="clear"/>
        </w:rPr>
        <w:t>https://vk.com/video-46688657_45623910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pBdr/>
        <w:ind w:firstLine="709"/>
        <w:jc w:val="both"/>
        <w:rPr>
          <w:rFonts w:ascii="Times New Roman" w:hAnsi="Times New Roman" w:cs="Times New Roman"/>
          <w:color w:val="000000" w:themeColor="text1"/>
          <w:highlight w:val="none"/>
        </w:rPr>
      </w:pPr>
      <w:r>
        <w:rPr>
          <w:rFonts w:cs="Times New Roman" w:ascii="Times New Roman" w:hAnsi="Times New Roman"/>
          <w:color w:val="000000" w:themeColor="text1"/>
        </w:rPr>
      </w:r>
    </w:p>
    <w:p>
      <w:pPr>
        <w:pStyle w:val="NormalWeb"/>
        <w:spacing w:beforeAutospacing="0" w:before="0" w:afterAutospacing="0" w:after="0"/>
        <w:ind w:left="0" w:right="0" w:firstLine="709"/>
        <w:jc w:val="both"/>
        <w:rPr>
          <w:rFonts w:ascii="Times New Roman" w:hAnsi="Times New Roman" w:cs="Times New Roman"/>
          <w:i w:val="false"/>
          <w:i w:val="false"/>
          <w:iCs w:val="false"/>
          <w:color w:val="000000" w:themeColor="text1"/>
          <w:sz w:val="28"/>
          <w:szCs w:val="28"/>
          <w:highlight w:val="none"/>
        </w:rPr>
      </w:pPr>
      <w:r>
        <w:rPr>
          <w:rFonts w:cs="Times New Roman"/>
          <w:i w:val="false"/>
          <w:iCs w:val="false"/>
          <w:color w:val="000000" w:themeColor="text1"/>
          <w:sz w:val="28"/>
          <w:szCs w:val="28"/>
        </w:rPr>
      </w:r>
    </w:p>
    <w:p>
      <w:pPr>
        <w:pStyle w:val="NormalWeb"/>
        <w:spacing w:beforeAutospacing="0" w:before="0" w:afterAutospacing="0" w:after="0"/>
        <w:ind w:left="0" w:right="0" w:firstLine="709"/>
        <w:jc w:val="both"/>
        <w:rPr>
          <w:rFonts w:ascii="Times New Roman" w:hAnsi="Times New Roman" w:cs="Times New Roman"/>
          <w:bCs w:val="false"/>
          <w:i w:val="false"/>
          <w:i w:val="false"/>
          <w:color w:val="000000" w:themeColor="text1"/>
          <w:sz w:val="28"/>
          <w:szCs w:val="28"/>
          <w:highlight w:val="none"/>
        </w:rPr>
      </w:pPr>
      <w:r>
        <w:rPr>
          <w:rFonts w:cs="Times New Roman"/>
          <w:bCs w:val="false"/>
          <w:i w:val="false"/>
          <w:color w:val="000000" w:themeColor="text1"/>
          <w:sz w:val="28"/>
          <w:szCs w:val="28"/>
        </w:rPr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ambria">
    <w:charset w:val="01"/>
    <w:family w:val="roman"/>
    <w:pitch w:val="default"/>
  </w:font>
  <w:font w:name="Arial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Tinos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0"/>
      <w:outlineLvl w:val="0"/>
    </w:pPr>
    <w:rPr>
      <w:rFonts w:ascii="Cambria" w:hAnsi="Cambria" w:eastAsia="Arial" w:cs="Arial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qFormat/>
    <w:pPr>
      <w:spacing w:lineRule="auto" w:line="240" w:beforeAutospacing="1" w:afterAutospacing="1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6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-">
    <w:name w:val="Hyperlink"/>
    <w:semiHidden/>
    <w:unhideWhenUsed/>
    <w:rPr>
      <w:strike w:val="false"/>
      <w:dstrike w:val="false"/>
      <w:color w:val="28529D"/>
      <w:u w:val="none"/>
    </w:rPr>
  </w:style>
  <w:style w:type="character" w:styleId="Style7" w:customStyle="1">
    <w:name w:val="Текст сноски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8">
    <w:name w:val="Символ сноски"/>
    <w:uiPriority w:val="99"/>
    <w:qFormat/>
    <w:rPr>
      <w:vertAlign w:val="superscript"/>
    </w:rPr>
  </w:style>
  <w:style w:type="character" w:styleId="Style9">
    <w:name w:val="Footnote Reference"/>
    <w:rPr>
      <w:vertAlign w:val="superscript"/>
    </w:rPr>
  </w:style>
  <w:style w:type="character" w:styleId="Style10" w:customStyle="1">
    <w:name w:val="Верхний колонтитул Знак"/>
    <w:basedOn w:val="DefaultParagraphFont"/>
    <w:uiPriority w:val="99"/>
    <w:qFormat/>
    <w:rPr/>
  </w:style>
  <w:style w:type="character" w:styleId="Style11" w:customStyle="1">
    <w:name w:val="Нижний колонтитул Знак"/>
    <w:basedOn w:val="DefaultParagraphFont"/>
    <w:uiPriority w:val="99"/>
    <w:qFormat/>
    <w:rPr/>
  </w:style>
  <w:style w:type="character" w:styleId="FontStyle18" w:customStyle="1">
    <w:name w:val="Font Style18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character" w:styleId="41" w:customStyle="1">
    <w:name w:val="Заголовок 4 Знак"/>
    <w:basedOn w:val="DefaultParagraphFont"/>
    <w:uiPriority w:val="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11" w:customStyle="1">
    <w:name w:val="Заголовок 1 Знак"/>
    <w:basedOn w:val="DefaultParagraphFont"/>
    <w:uiPriority w:val="9"/>
    <w:qFormat/>
    <w:rPr>
      <w:rFonts w:ascii="Cambria" w:hAnsi="Cambria" w:eastAsia="Arial" w:cs="Arial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ascii="PT Astra Serif" w:hAnsi="PT Astra Serif" w:cs="Noto Sans Devanagari"/>
    </w:rPr>
  </w:style>
  <w:style w:type="paragraph" w:styleId="Style15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7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8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9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2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2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0">
    <w:name w:val="Index Heading"/>
    <w:basedOn w:val="Style12"/>
    <w:pPr/>
    <w:rPr/>
  </w:style>
  <w:style w:type="paragraph" w:styleId="Style21">
    <w:name w:val="TOC Heading"/>
    <w:uiPriority w:val="39"/>
    <w:unhideWhenUsed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ConsPlusNormal" w:customStyle="1">
    <w:name w:val="ConsPlusNormal"/>
    <w:uiPriority w:val="99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Arial" w:hAnsi="Arial" w:eastAsia="Times New Roman" w:cs="Arial" w:cstheme="minorBidi"/>
      <w:color w:val="auto"/>
      <w:kern w:val="0"/>
      <w:sz w:val="20"/>
      <w:szCs w:val="20"/>
      <w:lang w:eastAsia="ru-RU" w:val="ru-RU" w:bidi="ar-SA"/>
    </w:rPr>
  </w:style>
  <w:style w:type="paragraph" w:styleId="Style22">
    <w:name w:val="Footnote Text"/>
    <w:basedOn w:val="Normal"/>
    <w:uiPriority w:val="99"/>
    <w:qFormat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pPr>
      <w:spacing w:before="0" w:after="200"/>
      <w:ind w:left="720" w:hanging="0"/>
      <w:contextualSpacing/>
    </w:pPr>
    <w:rPr/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>
    <w:name w:val="Foot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rmalWeb">
    <w:name w:val="Normal (Web)"/>
    <w:basedOn w:val="Normal"/>
    <w:uiPriority w:val="99"/>
    <w:unhideWhenUsed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andard" w:customStyle="1">
    <w:name w:val="Standard"/>
    <w:qFormat/>
    <w:pPr>
      <w:keepNext w:val="false"/>
      <w:keepLines w:val="false"/>
      <w:pageBreakBefore w:val="false"/>
      <w:widowControl w:val="false"/>
      <w:pBdr/>
      <w:shd w:val="nil" w:color="000000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Arial" w:hAnsi="Arial" w:eastAsia="Andale Sans UI" w:cs="Arial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4"/>
      <w:sz w:val="24"/>
      <w:szCs w:val="24"/>
      <w:u w:val="none"/>
      <w:vertAlign w:val="baseline"/>
      <w:lang w:val="ru-RU" w:eastAsia="zh-CN" w:bidi="hi-IN"/>
      <w14:ligatures w14:val="none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rosreestr.gov.ru/open-service/statistika-i-analitika/perechen-pomeshcheniy-bez-prav-raspolozhennykh-v-mkd-postroennykh-po-ddu-vvedennykh-v-ekspluatatsiyu/" TargetMode="External"/><Relationship Id="rId4" Type="http://schemas.openxmlformats.org/officeDocument/2006/relationships/image" Target="media/image2.png"/><Relationship Id="rId5" Type="http://schemas.openxmlformats.org/officeDocument/2006/relationships/hyperlink" Target="mailto:22press_rosreestr@mail.ru" TargetMode="External"/><Relationship Id="rId6" Type="http://schemas.openxmlformats.org/officeDocument/2006/relationships/hyperlink" Target="http://www.rosreestr.gov.ru/" TargetMode="External"/><Relationship Id="rId7" Type="http://schemas.openxmlformats.org/officeDocument/2006/relationships/hyperlink" Target="https://dzen.ru/id/6392ad9bbc8b8d2fd42961a7" TargetMode="External"/><Relationship Id="rId8" Type="http://schemas.openxmlformats.org/officeDocument/2006/relationships/hyperlink" Target="https://vk.com/rosreestr_altaiskii_krai" TargetMode="External"/><Relationship Id="rId9" Type="http://schemas.openxmlformats.org/officeDocument/2006/relationships/hyperlink" Target="https://ok.ru/rosreestr22alt.krai" TargetMode="Externa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7B263-9CA5-4C9C-8503-7BAB13803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LibreOffice/7.5.6.2$Linux_X86_64 LibreOffice_project/50$Build-2</Application>
  <AppVersion>15.0000</AppVersion>
  <Pages>3</Pages>
  <Words>534</Words>
  <Characters>4322</Characters>
  <CharactersWithSpaces>4920</CharactersWithSpaces>
  <Paragraphs>28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2024-01-15T02:29:00Z</dcterms:created>
  <dc:creator>Хайрутдинова Ольга Анатольевна</dc:creator>
  <dc:description/>
  <dc:language>ru-RU</dc:language>
  <cp:lastModifiedBy/>
  <dcterms:modified xsi:type="dcterms:W3CDTF">2025-11-12T16:00:14Z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